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210CBC">
        <w:rPr>
          <w:rFonts w:hint="cs"/>
          <w:b/>
          <w:bCs/>
          <w:u w:val="dotted"/>
          <w:cs/>
        </w:rPr>
        <w:t xml:space="preserve"> 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210CBC">
        <w:rPr>
          <w:b/>
          <w:bCs/>
          <w:u w:val="dotted"/>
          <w:cs/>
        </w:rPr>
        <w:t>หอผู้ป่วยพิเศษปัญญา</w:t>
      </w:r>
      <w:r w:rsidR="00210CBC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C0E3F" w:rsidRPr="001C762B">
              <w:rPr>
                <w:color w:val="000000" w:themeColor="text1"/>
                <w:cs/>
              </w:rPr>
              <w:t>นาง</w:t>
            </w:r>
            <w:r w:rsidR="004C0E3F" w:rsidRPr="001C762B">
              <w:rPr>
                <w:rFonts w:hint="cs"/>
                <w:color w:val="000000" w:themeColor="text1"/>
                <w:cs/>
              </w:rPr>
              <w:t>แววดาว วงศ์</w:t>
            </w:r>
            <w:proofErr w:type="spellStart"/>
            <w:r w:rsidR="004C0E3F" w:rsidRPr="001C762B">
              <w:rPr>
                <w:rFonts w:hint="cs"/>
                <w:color w:val="000000" w:themeColor="text1"/>
                <w:cs/>
              </w:rPr>
              <w:t>สุร</w:t>
            </w:r>
            <w:proofErr w:type="spellEnd"/>
            <w:r w:rsidR="004C0E3F" w:rsidRPr="001C762B">
              <w:rPr>
                <w:rFonts w:hint="cs"/>
                <w:color w:val="000000" w:themeColor="text1"/>
                <w:cs/>
              </w:rPr>
              <w:t>ประกิต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334"/>
        <w:gridCol w:w="1102"/>
        <w:gridCol w:w="828"/>
        <w:gridCol w:w="828"/>
        <w:gridCol w:w="828"/>
        <w:gridCol w:w="828"/>
        <w:gridCol w:w="834"/>
        <w:gridCol w:w="2191"/>
        <w:gridCol w:w="2396"/>
      </w:tblGrid>
      <w:tr w:rsidR="0058742C" w:rsidRPr="00815A80" w:rsidTr="0055266D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3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91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39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55266D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9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55266D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3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191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396" w:type="dxa"/>
            <w:shd w:val="clear" w:color="auto" w:fill="CCFFCC"/>
          </w:tcPr>
          <w:p w:rsidR="0058742C" w:rsidRPr="00815A80" w:rsidRDefault="0058742C" w:rsidP="00FB324C"/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 w:val="restart"/>
          </w:tcPr>
          <w:p w:rsidR="0055266D" w:rsidRPr="00815A80" w:rsidRDefault="0055266D" w:rsidP="00210CBC">
            <w:pPr>
              <w:rPr>
                <w:b/>
                <w:bCs/>
              </w:rPr>
            </w:pPr>
            <w:r w:rsidRPr="00210CBC">
              <w:rPr>
                <w:b/>
                <w:bCs/>
                <w:cs/>
              </w:rPr>
              <w:t xml:space="preserve">ให้บริการแบบผู้ป่วยใน สำหรับผู้ป่วยจิตเวชทั่วไปชายในระยะ </w:t>
            </w:r>
            <w:proofErr w:type="spellStart"/>
            <w:r w:rsidRPr="00210CBC">
              <w:rPr>
                <w:b/>
                <w:bCs/>
              </w:rPr>
              <w:t>Sub  acute</w:t>
            </w:r>
            <w:proofErr w:type="spellEnd"/>
            <w:r w:rsidRPr="00210CBC">
              <w:rPr>
                <w:b/>
                <w:bCs/>
              </w:rPr>
              <w:t xml:space="preserve"> </w:t>
            </w:r>
            <w:r w:rsidRPr="00210CBC">
              <w:rPr>
                <w:b/>
                <w:bCs/>
                <w:cs/>
              </w:rPr>
              <w:t xml:space="preserve">ด้วยห้องพิเศษและอาหารพิเศษ   และผู้ป่วยที่มีปัญหาการแพร่เชื้อทาง </w:t>
            </w:r>
            <w:r w:rsidRPr="00210CBC">
              <w:rPr>
                <w:b/>
                <w:bCs/>
              </w:rPr>
              <w:t xml:space="preserve">Airborne </w:t>
            </w:r>
            <w:r w:rsidRPr="00210CBC">
              <w:rPr>
                <w:b/>
                <w:bCs/>
                <w:cs/>
              </w:rPr>
              <w:t xml:space="preserve">โดยมีเป้าหมายเพื่อให้ผู้ใช้บริการได้รับบริการที่มีคุณภาพ </w:t>
            </w:r>
            <w:r>
              <w:rPr>
                <w:rFonts w:hint="cs"/>
                <w:b/>
                <w:bCs/>
                <w:cs/>
              </w:rPr>
              <w:t xml:space="preserve">          </w:t>
            </w:r>
            <w:r w:rsidRPr="00210CBC">
              <w:rPr>
                <w:b/>
                <w:bCs/>
                <w:cs/>
              </w:rPr>
              <w:t>ได้มาตรฐาน ปลอดภัย และผู้ใช้บริการมีความพึงพอใจ</w:t>
            </w:r>
          </w:p>
        </w:tc>
        <w:tc>
          <w:tcPr>
            <w:tcW w:w="3334" w:type="dxa"/>
          </w:tcPr>
          <w:p w:rsidR="0055266D" w:rsidRPr="00210CBC" w:rsidRDefault="0055266D" w:rsidP="003F07FE">
            <w:pPr>
              <w:rPr>
                <w:color w:val="000000" w:themeColor="text1"/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  <w:vMerge w:val="restart"/>
          </w:tcPr>
          <w:p w:rsidR="0055266D" w:rsidRPr="00210CBC" w:rsidRDefault="0055266D" w:rsidP="00CE5866">
            <w:pPr>
              <w:rPr>
                <w:rFonts w:eastAsia="Sarabun"/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  <w:vMerge w:val="restart"/>
          </w:tcPr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นางสายวสันต์  </w:t>
            </w:r>
            <w:proofErr w:type="spellStart"/>
            <w:r w:rsidRPr="00210CBC">
              <w:rPr>
                <w:sz w:val="28"/>
                <w:szCs w:val="28"/>
                <w:cs/>
              </w:rPr>
              <w:t>อนันต๊ะ</w:t>
            </w:r>
            <w:proofErr w:type="spellEnd"/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น.ส.จงรักษ์  </w:t>
            </w:r>
            <w:proofErr w:type="spellStart"/>
            <w:r w:rsidRPr="00210CBC">
              <w:rPr>
                <w:sz w:val="28"/>
                <w:szCs w:val="28"/>
                <w:cs/>
              </w:rPr>
              <w:t>ฐานวร</w:t>
            </w:r>
            <w:proofErr w:type="spellEnd"/>
            <w:r w:rsidRPr="00210CBC">
              <w:rPr>
                <w:sz w:val="28"/>
                <w:szCs w:val="28"/>
                <w:cs/>
              </w:rPr>
              <w:t>กุล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</w:t>
            </w:r>
            <w:proofErr w:type="spellStart"/>
            <w:r w:rsidRPr="00210CBC">
              <w:rPr>
                <w:sz w:val="28"/>
                <w:szCs w:val="28"/>
                <w:cs/>
              </w:rPr>
              <w:t>จีรวร</w:t>
            </w:r>
            <w:proofErr w:type="spellEnd"/>
            <w:r w:rsidRPr="00210CBC">
              <w:rPr>
                <w:sz w:val="28"/>
                <w:szCs w:val="28"/>
                <w:cs/>
              </w:rPr>
              <w:t>รณ  เดชธรรม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น.ส.วรรษชล   บัวแดง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น.ส.ภัทรพร   จิตนาน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</w:t>
            </w:r>
            <w:proofErr w:type="spellStart"/>
            <w:r w:rsidRPr="00210CBC">
              <w:rPr>
                <w:sz w:val="28"/>
                <w:szCs w:val="28"/>
                <w:cs/>
              </w:rPr>
              <w:t>วัทน</w:t>
            </w:r>
            <w:proofErr w:type="spellEnd"/>
            <w:r w:rsidRPr="00210CBC">
              <w:rPr>
                <w:sz w:val="28"/>
                <w:szCs w:val="28"/>
                <w:cs/>
              </w:rPr>
              <w:t>วิภา   สายคำภา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นายจักรพันธ์ </w:t>
            </w:r>
            <w:r w:rsidRPr="00210CBC">
              <w:rPr>
                <w:sz w:val="28"/>
                <w:szCs w:val="28"/>
                <w:cs/>
              </w:rPr>
              <w:t>ภูสิริพัฒนานนท์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นายรุ่ง</w:t>
            </w:r>
            <w:proofErr w:type="spellStart"/>
            <w:r w:rsidRPr="00210CBC">
              <w:rPr>
                <w:sz w:val="28"/>
                <w:szCs w:val="28"/>
                <w:cs/>
              </w:rPr>
              <w:t>กาญจน์</w:t>
            </w:r>
            <w:proofErr w:type="spellEnd"/>
            <w:r w:rsidRPr="00210CBC">
              <w:rPr>
                <w:sz w:val="28"/>
                <w:szCs w:val="28"/>
                <w:cs/>
              </w:rPr>
              <w:t xml:space="preserve">  ตาวงศ์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นายอนุชล  คงมณี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นายอำพร  สุขใจ</w:t>
            </w:r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นายทินกร  ใจจา</w:t>
            </w:r>
          </w:p>
          <w:p w:rsidR="0055266D" w:rsidRDefault="0055266D" w:rsidP="00132CB3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นายวัฒนา  แสงหล้า</w:t>
            </w:r>
          </w:p>
          <w:p w:rsidR="00CB2025" w:rsidRPr="00210CBC" w:rsidRDefault="00CB2025" w:rsidP="00132CB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5266D" w:rsidRPr="00210CBC" w:rsidRDefault="0055266D" w:rsidP="00132CB3">
            <w:pPr>
              <w:rPr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55266D" w:rsidRPr="00210CBC" w:rsidRDefault="0055266D" w:rsidP="00CE5866">
            <w:pPr>
              <w:rPr>
                <w:rFonts w:eastAsia="Sarabun"/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 xml:space="preserve">2. </w:t>
            </w:r>
            <w:r w:rsidRPr="00210CBC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55266D" w:rsidRPr="00210CBC" w:rsidRDefault="0055266D" w:rsidP="00E82373">
            <w:pPr>
              <w:rPr>
                <w:sz w:val="28"/>
                <w:szCs w:val="28"/>
                <w:cs/>
              </w:rPr>
            </w:pPr>
            <w:r w:rsidRPr="00210CBC">
              <w:rPr>
                <w:rFonts w:eastAsia="Sarabun"/>
                <w:sz w:val="28"/>
                <w:szCs w:val="28"/>
              </w:rPr>
              <w:t>(</w:t>
            </w:r>
            <w:r w:rsidRPr="00210CBC">
              <w:rPr>
                <w:sz w:val="28"/>
                <w:szCs w:val="28"/>
                <w:cs/>
              </w:rPr>
              <w:t>พลัดตกหกล้มตกเตียง</w:t>
            </w:r>
            <w:r w:rsidRPr="00210CBC">
              <w:rPr>
                <w:rFonts w:eastAsia="Sarabun"/>
                <w:sz w:val="28"/>
                <w:szCs w:val="28"/>
              </w:rPr>
              <w:t xml:space="preserve">) </w:t>
            </w:r>
            <w:r w:rsidRPr="00210CBC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210CBC">
              <w:rPr>
                <w:rFonts w:eastAsia="Sarabun"/>
                <w:sz w:val="28"/>
                <w:szCs w:val="28"/>
              </w:rPr>
              <w:t xml:space="preserve">F </w:t>
            </w:r>
            <w:r w:rsidRPr="00210CB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55266D" w:rsidRPr="00210CBC" w:rsidRDefault="0055266D" w:rsidP="004B5FBE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 xml:space="preserve">3. </w:t>
            </w:r>
            <w:r w:rsidRPr="00210CBC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210CBC">
              <w:rPr>
                <w:rFonts w:eastAsia="Sarabun"/>
                <w:sz w:val="28"/>
                <w:szCs w:val="28"/>
              </w:rPr>
              <w:t xml:space="preserve">F </w:t>
            </w:r>
            <w:r w:rsidRPr="00210CB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55266D" w:rsidRPr="00210CBC" w:rsidRDefault="0055266D" w:rsidP="00132CB3">
            <w:pPr>
              <w:rPr>
                <w:color w:val="000000" w:themeColor="text1"/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210CBC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210CB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55266D" w:rsidRPr="00210CBC" w:rsidRDefault="0055266D" w:rsidP="00731A9F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210CBC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31A9F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210CB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24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210CBC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210CBC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210CBC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210CBC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</w:t>
            </w:r>
          </w:p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</w:t>
            </w:r>
          </w:p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3</w:t>
            </w:r>
          </w:p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4</w:t>
            </w:r>
          </w:p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5</w:t>
            </w:r>
          </w:p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1D3B93" w:rsidP="00B37921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="0055266D" w:rsidRPr="00210CB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5266D" w:rsidRPr="00210CBC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B37921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55266D" w:rsidRPr="00210CBC" w:rsidRDefault="0055266D" w:rsidP="007D43D2">
            <w:pPr>
              <w:rPr>
                <w:rFonts w:eastAsia="Sarabun"/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นางสายวสันต์   </w:t>
            </w:r>
            <w:proofErr w:type="spellStart"/>
            <w:r w:rsidRPr="00210CBC">
              <w:rPr>
                <w:sz w:val="28"/>
                <w:szCs w:val="28"/>
                <w:cs/>
              </w:rPr>
              <w:t>อนันต๊ะ</w:t>
            </w:r>
            <w:proofErr w:type="spellEnd"/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น.ส.จงรักษ์   </w:t>
            </w:r>
            <w:proofErr w:type="spellStart"/>
            <w:r w:rsidRPr="00210CBC">
              <w:rPr>
                <w:sz w:val="28"/>
                <w:szCs w:val="28"/>
                <w:cs/>
              </w:rPr>
              <w:t>ฐานวร</w:t>
            </w:r>
            <w:proofErr w:type="spellEnd"/>
            <w:r w:rsidRPr="00210CBC">
              <w:rPr>
                <w:sz w:val="28"/>
                <w:szCs w:val="28"/>
                <w:cs/>
              </w:rPr>
              <w:t>กุล</w:t>
            </w:r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</w:t>
            </w:r>
            <w:proofErr w:type="spellStart"/>
            <w:r w:rsidRPr="00210CBC">
              <w:rPr>
                <w:sz w:val="28"/>
                <w:szCs w:val="28"/>
                <w:cs/>
              </w:rPr>
              <w:t>จีรวร</w:t>
            </w:r>
            <w:proofErr w:type="spellEnd"/>
            <w:r w:rsidRPr="00210CBC">
              <w:rPr>
                <w:sz w:val="28"/>
                <w:szCs w:val="28"/>
                <w:cs/>
              </w:rPr>
              <w:t>รณ    เดชธรรม</w:t>
            </w:r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น.ส.วรรษชล    บัวแดง</w:t>
            </w:r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น.ส.ภัทรพร    จิตนาน</w:t>
            </w:r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น.ส.</w:t>
            </w:r>
            <w:proofErr w:type="spellStart"/>
            <w:r w:rsidRPr="00210CBC">
              <w:rPr>
                <w:sz w:val="28"/>
                <w:szCs w:val="28"/>
                <w:cs/>
              </w:rPr>
              <w:t>วัทน</w:t>
            </w:r>
            <w:proofErr w:type="spellEnd"/>
            <w:r w:rsidRPr="00210CBC">
              <w:rPr>
                <w:sz w:val="28"/>
                <w:szCs w:val="28"/>
                <w:cs/>
              </w:rPr>
              <w:t>วิภา    สายคำภา</w:t>
            </w:r>
          </w:p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นายจักรพันธ์ ภูสิริพัฒนานนท์</w:t>
            </w: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10</w:t>
            </w:r>
            <w:r w:rsidRPr="00210CBC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210CBC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210CBC">
              <w:rPr>
                <w:color w:val="000000" w:themeColor="text1"/>
                <w:sz w:val="28"/>
                <w:szCs w:val="28"/>
              </w:rPr>
              <w:t>E-I</w:t>
            </w:r>
            <w:r w:rsidRPr="00210CBC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210CBC">
              <w:rPr>
                <w:sz w:val="28"/>
                <w:szCs w:val="28"/>
              </w:rPr>
              <w:t xml:space="preserve"> </w:t>
            </w:r>
            <w:r w:rsidRPr="00210CBC">
              <w:rPr>
                <w:sz w:val="28"/>
                <w:szCs w:val="28"/>
                <w:cs/>
              </w:rPr>
              <w:t>(</w:t>
            </w:r>
            <w:proofErr w:type="spellStart"/>
            <w:r w:rsidRPr="00210CBC">
              <w:rPr>
                <w:sz w:val="28"/>
                <w:szCs w:val="28"/>
              </w:rPr>
              <w:t>Honos</w:t>
            </w:r>
            <w:proofErr w:type="spellEnd"/>
            <w:r w:rsidRPr="00210CBC">
              <w:rPr>
                <w:sz w:val="28"/>
                <w:szCs w:val="28"/>
              </w:rPr>
              <w:t xml:space="preserve">, CIWAs, 9Q, 8Q, </w:t>
            </w:r>
            <w:proofErr w:type="spellStart"/>
            <w:r w:rsidRPr="00210CBC">
              <w:rPr>
                <w:sz w:val="28"/>
                <w:szCs w:val="28"/>
              </w:rPr>
              <w:t>MoCA</w:t>
            </w:r>
            <w:proofErr w:type="spellEnd"/>
            <w:r w:rsidRPr="00210CB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100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7D43D2">
            <w:pPr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12</w:t>
            </w:r>
            <w:r w:rsidRPr="00210CBC">
              <w:rPr>
                <w:sz w:val="28"/>
                <w:szCs w:val="28"/>
              </w:rPr>
              <w:t xml:space="preserve">. </w:t>
            </w:r>
            <w:r w:rsidRPr="00210CBC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≥</w:t>
            </w:r>
            <w:r w:rsidRPr="00210CBC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7D43D2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70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1D3B93" w:rsidP="00132CB3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="0055266D" w:rsidRPr="00210CBC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="0055266D" w:rsidRPr="00210CBC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132CB3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20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นางสายวสันต์   </w:t>
            </w:r>
            <w:proofErr w:type="spellStart"/>
            <w:r w:rsidRPr="00210CBC">
              <w:rPr>
                <w:sz w:val="28"/>
                <w:szCs w:val="28"/>
                <w:cs/>
              </w:rPr>
              <w:t>อนันต๊ะ</w:t>
            </w:r>
            <w:proofErr w:type="spellEnd"/>
          </w:p>
          <w:p w:rsidR="0055266D" w:rsidRPr="00210CBC" w:rsidRDefault="0055266D" w:rsidP="004C26D2">
            <w:pPr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 xml:space="preserve">น.ส.จงรักษ์   </w:t>
            </w:r>
            <w:proofErr w:type="spellStart"/>
            <w:r w:rsidRPr="00210CBC">
              <w:rPr>
                <w:sz w:val="28"/>
                <w:szCs w:val="28"/>
                <w:cs/>
              </w:rPr>
              <w:t>ฐานวร</w:t>
            </w:r>
            <w:proofErr w:type="spellEnd"/>
            <w:r w:rsidRPr="00210CBC">
              <w:rPr>
                <w:sz w:val="28"/>
                <w:szCs w:val="28"/>
                <w:cs/>
              </w:rPr>
              <w:t>กุล</w:t>
            </w: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55266D" w:rsidRPr="00815A80" w:rsidRDefault="0055266D" w:rsidP="00FB324C">
            <w:pPr>
              <w:rPr>
                <w:b/>
                <w:bCs/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55266D" w:rsidRPr="00210CBC" w:rsidRDefault="0055266D" w:rsidP="0006458F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14</w:t>
            </w:r>
            <w:r w:rsidRPr="00210CBC">
              <w:rPr>
                <w:sz w:val="28"/>
                <w:szCs w:val="28"/>
              </w:rPr>
              <w:t xml:space="preserve">. </w:t>
            </w:r>
            <w:r w:rsidRPr="00210CBC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210CBC">
              <w:rPr>
                <w:sz w:val="28"/>
                <w:szCs w:val="28"/>
              </w:rPr>
              <w:t xml:space="preserve">SMI-V </w:t>
            </w:r>
            <w:r w:rsidRPr="00210CBC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210CBC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9826F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  <w:vMerge/>
            <w:shd w:val="clear" w:color="auto" w:fill="auto"/>
          </w:tcPr>
          <w:p w:rsidR="0055266D" w:rsidRPr="00210CBC" w:rsidRDefault="0055266D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5266D" w:rsidRPr="00210CBC" w:rsidRDefault="0055266D" w:rsidP="004C26D2">
            <w:pPr>
              <w:rPr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55266D" w:rsidRPr="00815A80" w:rsidRDefault="0055266D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 w:val="restart"/>
          </w:tcPr>
          <w:p w:rsidR="0055266D" w:rsidRPr="00815A80" w:rsidRDefault="0055266D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:rsidR="0055266D" w:rsidRPr="00210CBC" w:rsidRDefault="0055266D" w:rsidP="0046629C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 xml:space="preserve">1.1 จำนวน </w:t>
            </w:r>
            <w:r w:rsidRPr="00210CBC">
              <w:rPr>
                <w:sz w:val="28"/>
                <w:szCs w:val="28"/>
              </w:rPr>
              <w:t>CQI/R</w:t>
            </w:r>
            <w:r w:rsidRPr="00210CBC">
              <w:rPr>
                <w:sz w:val="28"/>
                <w:szCs w:val="28"/>
                <w:cs/>
              </w:rPr>
              <w:t>2</w:t>
            </w:r>
            <w:r w:rsidRPr="00210CBC">
              <w:rPr>
                <w:sz w:val="28"/>
                <w:szCs w:val="28"/>
              </w:rPr>
              <w:t>R</w:t>
            </w:r>
            <w:r w:rsidRPr="00210CBC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1" w:type="dxa"/>
            <w:vMerge w:val="restart"/>
          </w:tcPr>
          <w:p w:rsidR="0055266D" w:rsidRPr="00210CBC" w:rsidRDefault="0055266D" w:rsidP="008C298C">
            <w:pPr>
              <w:rPr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ประกิต </w:t>
            </w:r>
            <w:r w:rsidRPr="00210CBC">
              <w:rPr>
                <w:color w:val="FF0000"/>
                <w:sz w:val="28"/>
                <w:szCs w:val="28"/>
                <w:cs/>
              </w:rPr>
              <w:t>(</w:t>
            </w:r>
            <w:r w:rsidRPr="00210CBC">
              <w:rPr>
                <w:color w:val="FF0000"/>
                <w:sz w:val="28"/>
                <w:szCs w:val="28"/>
              </w:rPr>
              <w:t>PM :</w:t>
            </w:r>
            <w:r w:rsidRPr="00210CBC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210CB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96" w:type="dxa"/>
            <w:vMerge w:val="restart"/>
          </w:tcPr>
          <w:p w:rsidR="0055266D" w:rsidRPr="00210CBC" w:rsidRDefault="0055266D" w:rsidP="000262D0">
            <w:pPr>
              <w:rPr>
                <w:color w:val="FF0000"/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</w:tcPr>
          <w:p w:rsidR="0055266D" w:rsidRPr="00210CBC" w:rsidRDefault="0055266D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55266D" w:rsidRPr="00210CBC" w:rsidRDefault="0055266D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0262D0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55266D" w:rsidRPr="00210CBC" w:rsidRDefault="0055266D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55266D" w:rsidRPr="00210CBC" w:rsidRDefault="0055266D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55266D" w:rsidRPr="00210CBC" w:rsidRDefault="0055266D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55266D" w:rsidRPr="00210CBC" w:rsidRDefault="0055266D" w:rsidP="000262D0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55266D" w:rsidRPr="00210CBC" w:rsidRDefault="0055266D" w:rsidP="00663839">
            <w:pPr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FB324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55266D" w:rsidRPr="00210CBC" w:rsidRDefault="0055266D" w:rsidP="008C298C">
            <w:pPr>
              <w:rPr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ประกิต </w:t>
            </w:r>
            <w:r w:rsidRPr="00210CBC">
              <w:rPr>
                <w:color w:val="FF0000"/>
                <w:sz w:val="28"/>
                <w:szCs w:val="28"/>
              </w:rPr>
              <w:t>(PM :</w:t>
            </w:r>
            <w:r w:rsidRPr="00210CB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10CBC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396" w:type="dxa"/>
          </w:tcPr>
          <w:p w:rsidR="0055266D" w:rsidRDefault="0055266D" w:rsidP="003F07FE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1D3B93" w:rsidRDefault="001D3B93" w:rsidP="003F07FE">
            <w:pPr>
              <w:rPr>
                <w:sz w:val="28"/>
                <w:szCs w:val="28"/>
              </w:rPr>
            </w:pPr>
          </w:p>
          <w:p w:rsidR="001D3B93" w:rsidRDefault="001D3B93" w:rsidP="003F07FE">
            <w:pPr>
              <w:rPr>
                <w:sz w:val="28"/>
                <w:szCs w:val="28"/>
              </w:rPr>
            </w:pPr>
          </w:p>
          <w:p w:rsidR="001D3B93" w:rsidRDefault="001D3B93" w:rsidP="003F07FE">
            <w:pPr>
              <w:rPr>
                <w:sz w:val="28"/>
                <w:szCs w:val="28"/>
              </w:rPr>
            </w:pPr>
          </w:p>
          <w:p w:rsidR="001D3B93" w:rsidRDefault="001D3B93" w:rsidP="003F07FE">
            <w:pPr>
              <w:rPr>
                <w:sz w:val="28"/>
                <w:szCs w:val="28"/>
              </w:rPr>
            </w:pPr>
          </w:p>
          <w:p w:rsidR="001D3B93" w:rsidRPr="00210CBC" w:rsidRDefault="001D3B93" w:rsidP="003F07FE">
            <w:pPr>
              <w:rPr>
                <w:sz w:val="28"/>
                <w:szCs w:val="28"/>
                <w:cs/>
              </w:rPr>
            </w:pP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55266D" w:rsidRPr="00815A80" w:rsidRDefault="0055266D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334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55266D" w:rsidRPr="00210CBC" w:rsidRDefault="0055266D" w:rsidP="00FB324C">
            <w:pPr>
              <w:rPr>
                <w:sz w:val="28"/>
                <w:szCs w:val="28"/>
              </w:rPr>
            </w:pPr>
          </w:p>
        </w:tc>
      </w:tr>
      <w:tr w:rsidR="0055266D" w:rsidRPr="00815A80" w:rsidTr="0055266D">
        <w:trPr>
          <w:trHeight w:val="419"/>
          <w:jc w:val="center"/>
        </w:trPr>
        <w:tc>
          <w:tcPr>
            <w:tcW w:w="2592" w:type="dxa"/>
          </w:tcPr>
          <w:p w:rsidR="0055266D" w:rsidRPr="00815A80" w:rsidRDefault="0055266D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334" w:type="dxa"/>
          </w:tcPr>
          <w:p w:rsidR="0055266D" w:rsidRPr="00210CBC" w:rsidRDefault="0055266D" w:rsidP="00F043EB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55266D" w:rsidRPr="00210CBC" w:rsidRDefault="0055266D" w:rsidP="00F043EB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91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</w:tcPr>
          <w:p w:rsidR="0055266D" w:rsidRPr="00815A80" w:rsidRDefault="0055266D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334" w:type="dxa"/>
          </w:tcPr>
          <w:p w:rsidR="0055266D" w:rsidRPr="00210CBC" w:rsidRDefault="0055266D" w:rsidP="00397A4C">
            <w:pPr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55266D" w:rsidRPr="00210CBC" w:rsidRDefault="0055266D" w:rsidP="00F043EB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91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 w:val="restart"/>
          </w:tcPr>
          <w:p w:rsidR="0055266D" w:rsidRPr="00815A80" w:rsidRDefault="0055266D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334" w:type="dxa"/>
          </w:tcPr>
          <w:p w:rsidR="0055266D" w:rsidRPr="00210CBC" w:rsidRDefault="0055266D" w:rsidP="00F043EB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210CBC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55266D" w:rsidRPr="00210CBC" w:rsidRDefault="0055266D" w:rsidP="00F043EB">
            <w:pPr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>ประกิต</w:t>
            </w:r>
          </w:p>
        </w:tc>
        <w:tc>
          <w:tcPr>
            <w:tcW w:w="2396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55266D" w:rsidRPr="00210CBC" w:rsidRDefault="0055266D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210CBC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55266D" w:rsidRPr="00210CBC" w:rsidRDefault="0055266D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5</w:t>
            </w:r>
          </w:p>
          <w:p w:rsidR="0055266D" w:rsidRPr="00210CBC" w:rsidRDefault="0055266D" w:rsidP="003F07FE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</w:rPr>
              <w:t xml:space="preserve"> </w:t>
            </w:r>
            <w:r w:rsidRPr="00210CB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210CB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55266D" w:rsidRPr="00210CBC" w:rsidRDefault="0055266D" w:rsidP="008C298C">
            <w:pPr>
              <w:rPr>
                <w:color w:val="FF0000"/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ประกิต </w:t>
            </w:r>
            <w:r w:rsidRPr="00210CBC">
              <w:rPr>
                <w:color w:val="FF0000"/>
                <w:sz w:val="28"/>
                <w:szCs w:val="28"/>
              </w:rPr>
              <w:t>(PM :</w:t>
            </w:r>
            <w:r w:rsidRPr="00210CBC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396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5266D" w:rsidRPr="00815A80" w:rsidTr="0055266D">
        <w:trPr>
          <w:trHeight w:val="432"/>
          <w:jc w:val="center"/>
        </w:trPr>
        <w:tc>
          <w:tcPr>
            <w:tcW w:w="2592" w:type="dxa"/>
            <w:vMerge/>
          </w:tcPr>
          <w:p w:rsidR="0055266D" w:rsidRPr="00815A80" w:rsidRDefault="0055266D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55266D" w:rsidRPr="00210CBC" w:rsidRDefault="0055266D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210CBC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55266D" w:rsidRPr="00210CBC" w:rsidRDefault="0055266D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≥</w:t>
            </w:r>
            <w:r w:rsidRPr="00210CBC">
              <w:rPr>
                <w:sz w:val="28"/>
                <w:szCs w:val="28"/>
                <w:cs/>
              </w:rPr>
              <w:t>3</w:t>
            </w:r>
            <w:r w:rsidRPr="00210CBC">
              <w:rPr>
                <w:sz w:val="28"/>
                <w:szCs w:val="28"/>
              </w:rPr>
              <w:t xml:space="preserve"> </w:t>
            </w:r>
          </w:p>
          <w:p w:rsidR="0055266D" w:rsidRPr="00210CBC" w:rsidRDefault="0055266D" w:rsidP="00F043EB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55266D" w:rsidRPr="00210CBC" w:rsidRDefault="0055266D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210CBC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55266D" w:rsidRPr="00210CBC" w:rsidRDefault="0055266D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</w:rPr>
              <w:t>≥</w:t>
            </w:r>
            <w:r w:rsidRPr="00210CBC">
              <w:rPr>
                <w:sz w:val="28"/>
                <w:szCs w:val="28"/>
                <w:cs/>
              </w:rPr>
              <w:t>3</w:t>
            </w:r>
            <w:r w:rsidRPr="00210CBC">
              <w:rPr>
                <w:sz w:val="28"/>
                <w:szCs w:val="28"/>
              </w:rPr>
              <w:t xml:space="preserve"> </w:t>
            </w:r>
          </w:p>
          <w:p w:rsidR="0055266D" w:rsidRPr="00210CBC" w:rsidRDefault="0055266D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91" w:type="dxa"/>
          </w:tcPr>
          <w:p w:rsidR="0055266D" w:rsidRPr="00210CBC" w:rsidRDefault="0055266D" w:rsidP="008C298C">
            <w:pPr>
              <w:rPr>
                <w:color w:val="FF0000"/>
                <w:sz w:val="28"/>
                <w:szCs w:val="28"/>
                <w:cs/>
              </w:rPr>
            </w:pPr>
            <w:r w:rsidRPr="00210CBC">
              <w:rPr>
                <w:color w:val="000000" w:themeColor="text1"/>
                <w:sz w:val="28"/>
                <w:szCs w:val="28"/>
                <w:cs/>
              </w:rPr>
              <w:t>นางแววดาว วงศ์</w:t>
            </w:r>
            <w:proofErr w:type="spellStart"/>
            <w:r w:rsidRPr="00210CBC">
              <w:rPr>
                <w:color w:val="000000" w:themeColor="text1"/>
                <w:sz w:val="28"/>
                <w:szCs w:val="28"/>
                <w:cs/>
              </w:rPr>
              <w:t>สุร</w:t>
            </w:r>
            <w:proofErr w:type="spellEnd"/>
            <w:r w:rsidRPr="00210CBC">
              <w:rPr>
                <w:color w:val="000000" w:themeColor="text1"/>
                <w:sz w:val="28"/>
                <w:szCs w:val="28"/>
                <w:cs/>
              </w:rPr>
              <w:t xml:space="preserve">ประกิต </w:t>
            </w:r>
            <w:r w:rsidRPr="00210CBC">
              <w:rPr>
                <w:color w:val="FF0000"/>
                <w:sz w:val="28"/>
                <w:szCs w:val="28"/>
              </w:rPr>
              <w:t>(PM :</w:t>
            </w:r>
            <w:r w:rsidRPr="00210CB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210CBC">
              <w:rPr>
                <w:color w:val="FF0000"/>
                <w:sz w:val="28"/>
                <w:szCs w:val="28"/>
              </w:rPr>
              <w:t xml:space="preserve">HRD, </w:t>
            </w:r>
            <w:r w:rsidRPr="00210CBC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396" w:type="dxa"/>
          </w:tcPr>
          <w:p w:rsidR="0055266D" w:rsidRPr="00210CBC" w:rsidRDefault="0055266D">
            <w:pPr>
              <w:rPr>
                <w:sz w:val="28"/>
                <w:szCs w:val="28"/>
              </w:rPr>
            </w:pPr>
            <w:r w:rsidRPr="00210CB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lastRenderedPageBreak/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D391A"/>
    <w:rsid w:val="00110F5B"/>
    <w:rsid w:val="001314FE"/>
    <w:rsid w:val="00186972"/>
    <w:rsid w:val="00191E7F"/>
    <w:rsid w:val="001A33B3"/>
    <w:rsid w:val="001A7F52"/>
    <w:rsid w:val="001D3B93"/>
    <w:rsid w:val="001E5D4C"/>
    <w:rsid w:val="001F2884"/>
    <w:rsid w:val="00204003"/>
    <w:rsid w:val="00210CBC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556F3"/>
    <w:rsid w:val="0046629C"/>
    <w:rsid w:val="004B5FBE"/>
    <w:rsid w:val="004C0E3F"/>
    <w:rsid w:val="004C26D2"/>
    <w:rsid w:val="004D4DEC"/>
    <w:rsid w:val="00510F64"/>
    <w:rsid w:val="00513889"/>
    <w:rsid w:val="00521152"/>
    <w:rsid w:val="00525787"/>
    <w:rsid w:val="00527C42"/>
    <w:rsid w:val="005331E1"/>
    <w:rsid w:val="0053679F"/>
    <w:rsid w:val="0055266D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815A80"/>
    <w:rsid w:val="00824998"/>
    <w:rsid w:val="00853B5A"/>
    <w:rsid w:val="008A75F3"/>
    <w:rsid w:val="008B2945"/>
    <w:rsid w:val="008C298C"/>
    <w:rsid w:val="00914C18"/>
    <w:rsid w:val="00914F9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6A42"/>
    <w:rsid w:val="00B27594"/>
    <w:rsid w:val="00B53602"/>
    <w:rsid w:val="00BB30A0"/>
    <w:rsid w:val="00BC0EC2"/>
    <w:rsid w:val="00BE5055"/>
    <w:rsid w:val="00C42120"/>
    <w:rsid w:val="00CB2025"/>
    <w:rsid w:val="00CB75C6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A47EA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8938-2D20-48EF-9673-8DEC53A5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9</cp:revision>
  <dcterms:created xsi:type="dcterms:W3CDTF">2020-02-04T03:35:00Z</dcterms:created>
  <dcterms:modified xsi:type="dcterms:W3CDTF">2020-02-24T08:05:00Z</dcterms:modified>
</cp:coreProperties>
</file>